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B1" w:rsidRPr="00B525B1" w:rsidRDefault="00B525B1" w:rsidP="00B525B1">
      <w:pPr>
        <w:shd w:val="clear" w:color="auto" w:fill="FFFFFF"/>
        <w:spacing w:after="0" w:line="360" w:lineRule="atLeast"/>
        <w:rPr>
          <w:rFonts w:ascii="Tahoma" w:eastAsia="Times New Roman" w:hAnsi="Tahoma" w:cs="Tahoma"/>
          <w:b/>
          <w:i/>
          <w:color w:val="020202"/>
          <w:sz w:val="24"/>
          <w:szCs w:val="24"/>
          <w:lang w:val="en-GB"/>
        </w:rPr>
      </w:pPr>
      <w:bookmarkStart w:id="0" w:name="_GoBack"/>
      <w:bookmarkEnd w:id="0"/>
      <w:r w:rsidRPr="00B525B1">
        <w:rPr>
          <w:rFonts w:ascii="Tahoma" w:eastAsia="Times New Roman" w:hAnsi="Tahoma" w:cs="Tahoma"/>
          <w:b/>
          <w:color w:val="020202"/>
          <w:sz w:val="24"/>
          <w:szCs w:val="24"/>
          <w:lang w:val="en-GB"/>
        </w:rPr>
        <w:t xml:space="preserve">Reference sources of meaningful measures of Operational, Service and Clinical Performance are provided in the </w:t>
      </w:r>
      <w:hyperlink r:id="rId5" w:history="1">
        <w:r w:rsidR="00543724" w:rsidRPr="0016629C">
          <w:rPr>
            <w:rStyle w:val="Hyperlink"/>
            <w:rFonts w:ascii="Tahoma" w:eastAsia="Times New Roman" w:hAnsi="Tahoma" w:cs="Tahoma"/>
            <w:sz w:val="24"/>
            <w:szCs w:val="24"/>
            <w:lang w:val="en-GB"/>
          </w:rPr>
          <w:t>www.wiederholdassoc.com/images/blog/table-of-potential-data-analytics-sources</w:t>
        </w:r>
      </w:hyperlink>
      <w:r>
        <w:rPr>
          <w:rFonts w:ascii="Tahoma" w:eastAsia="Times New Roman" w:hAnsi="Tahoma" w:cs="Tahoma"/>
          <w:b/>
          <w:color w:val="020202"/>
          <w:sz w:val="24"/>
          <w:szCs w:val="24"/>
          <w:lang w:val="en-GB"/>
        </w:rPr>
        <w:t xml:space="preserve"> </w:t>
      </w:r>
      <w:r w:rsidRPr="00B525B1">
        <w:rPr>
          <w:rFonts w:ascii="Tahoma" w:eastAsia="Times New Roman" w:hAnsi="Tahoma" w:cs="Tahoma"/>
          <w:b/>
          <w:color w:val="020202"/>
          <w:sz w:val="24"/>
          <w:szCs w:val="24"/>
          <w:lang w:val="en-GB"/>
        </w:rPr>
        <w:t>(</w:t>
      </w:r>
      <w:r w:rsidRPr="00B525B1">
        <w:rPr>
          <w:rFonts w:ascii="Tahoma" w:eastAsia="Times New Roman" w:hAnsi="Tahoma" w:cs="Tahoma"/>
          <w:b/>
          <w:i/>
          <w:color w:val="020202"/>
          <w:sz w:val="24"/>
          <w:szCs w:val="24"/>
          <w:lang w:val="en-GB"/>
        </w:rPr>
        <w:t>Table of Potential Data Analytics Sources) and expanded upon below.</w:t>
      </w:r>
    </w:p>
    <w:p w:rsidR="00B525B1" w:rsidRPr="00B525B1" w:rsidRDefault="00B525B1" w:rsidP="00B525B1">
      <w:pPr>
        <w:shd w:val="clear" w:color="auto" w:fill="FFFFFF"/>
        <w:spacing w:after="0" w:line="360" w:lineRule="atLeast"/>
        <w:rPr>
          <w:rFonts w:ascii="Tahoma" w:eastAsia="Times New Roman" w:hAnsi="Tahoma" w:cs="Tahoma"/>
          <w:b/>
          <w:color w:val="020202"/>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r w:rsidRPr="00B525B1">
        <w:rPr>
          <w:rFonts w:ascii="Tahoma" w:eastAsia="Times New Roman" w:hAnsi="Tahoma" w:cs="Tahoma"/>
          <w:b/>
          <w:color w:val="020202"/>
          <w:lang w:val="en-GB"/>
        </w:rPr>
        <w:t>Operations/Financial Excellence</w:t>
      </w:r>
      <w:r w:rsidRPr="00B525B1">
        <w:rPr>
          <w:rFonts w:ascii="Tahoma" w:eastAsia="Times New Roman" w:hAnsi="Tahoma" w:cs="Tahoma"/>
          <w:color w:val="020202"/>
          <w:lang w:val="en-GB"/>
        </w:rPr>
        <w:t>:</w:t>
      </w: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Understanding the operations and financial performance of physician enterprise organizations is a good place to start when developing decision making processes.  The </w:t>
      </w:r>
      <w:r w:rsidRPr="00B525B1">
        <w:rPr>
          <w:rFonts w:ascii="Tahoma" w:eastAsia="Times New Roman" w:hAnsi="Tahoma" w:cs="Tahoma"/>
          <w:b/>
          <w:i/>
          <w:color w:val="020202"/>
          <w:sz w:val="20"/>
          <w:szCs w:val="20"/>
          <w:lang w:val="en-GB"/>
        </w:rPr>
        <w:t>Medical Group Management Association (MGMA)</w:t>
      </w:r>
      <w:r w:rsidRPr="00B525B1">
        <w:rPr>
          <w:rFonts w:ascii="Tahoma" w:eastAsia="Times New Roman" w:hAnsi="Tahoma" w:cs="Tahoma"/>
          <w:i/>
          <w:color w:val="020202"/>
          <w:sz w:val="20"/>
          <w:szCs w:val="20"/>
          <w:lang w:val="en-GB"/>
        </w:rPr>
        <w:t xml:space="preserve"> </w:t>
      </w:r>
      <w:r w:rsidRPr="00B525B1">
        <w:rPr>
          <w:rFonts w:ascii="Tahoma" w:eastAsia="Times New Roman" w:hAnsi="Tahoma" w:cs="Tahoma"/>
          <w:color w:val="020202"/>
          <w:sz w:val="20"/>
          <w:szCs w:val="20"/>
          <w:lang w:val="en-GB"/>
        </w:rPr>
        <w:t xml:space="preserve">provides a comprehensive set of survey and benchmark information to evaluate and benchmark operational and financial performance.  The </w:t>
      </w:r>
      <w:r w:rsidRPr="00B525B1">
        <w:rPr>
          <w:rFonts w:ascii="Tahoma" w:eastAsia="Times New Roman" w:hAnsi="Tahoma" w:cs="Tahoma"/>
          <w:b/>
          <w:i/>
          <w:color w:val="020202"/>
          <w:sz w:val="20"/>
          <w:szCs w:val="20"/>
          <w:lang w:val="en-GB"/>
        </w:rPr>
        <w:t>American Medical Group Association (AMGA)</w:t>
      </w:r>
      <w:r w:rsidRPr="00B525B1">
        <w:rPr>
          <w:rFonts w:ascii="Tahoma" w:eastAsia="Times New Roman" w:hAnsi="Tahoma" w:cs="Tahoma"/>
          <w:color w:val="020202"/>
          <w:sz w:val="20"/>
          <w:szCs w:val="20"/>
          <w:lang w:val="en-GB"/>
        </w:rPr>
        <w:t xml:space="preserve"> provides a comprehensive set of survey and benchmark information to evaluate and benchmark operational and financial performance.  </w:t>
      </w:r>
      <w:r w:rsidRPr="00B525B1">
        <w:rPr>
          <w:rFonts w:ascii="Tahoma" w:eastAsia="Times New Roman" w:hAnsi="Tahoma" w:cs="Tahoma"/>
          <w:b/>
          <w:i/>
          <w:color w:val="020202"/>
          <w:sz w:val="20"/>
          <w:szCs w:val="20"/>
        </w:rPr>
        <w:t xml:space="preserve">Sullivan Cotter:  </w:t>
      </w:r>
      <w:r w:rsidRPr="00B525B1">
        <w:rPr>
          <w:rFonts w:ascii="Tahoma" w:eastAsia="Times New Roman" w:hAnsi="Tahoma" w:cs="Tahoma"/>
          <w:color w:val="020202"/>
          <w:sz w:val="20"/>
          <w:szCs w:val="20"/>
        </w:rPr>
        <w:t>Specializing in performance-based total rewards programs and workforce solutions for the health care industry and Not-for-Profit Sector.  Compensation benchmark and survey information includes, but is not limited to:</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pStyle w:val="ListParagraph"/>
        <w:numPr>
          <w:ilvl w:val="0"/>
          <w:numId w:val="4"/>
        </w:numPr>
        <w:ind w:left="36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MGMA Provider Compensation Data, AMGA Compensation and Productivity Survey, Sullivan Cotter Physician Compensation and Productivity Survey:</w:t>
      </w:r>
    </w:p>
    <w:p w:rsidR="00B525B1" w:rsidRPr="00B525B1" w:rsidRDefault="00B525B1" w:rsidP="00B525B1">
      <w:pPr>
        <w:pStyle w:val="ListParagraph"/>
        <w:numPr>
          <w:ilvl w:val="1"/>
          <w:numId w:val="4"/>
        </w:numPr>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Provider compensation data will help to attract and retain physicians, as well as evaluate benefits and performance measurements:</w:t>
      </w:r>
    </w:p>
    <w:p w:rsidR="00B525B1" w:rsidRPr="00B525B1" w:rsidRDefault="00B525B1" w:rsidP="00B525B1">
      <w:pPr>
        <w:pStyle w:val="ListParagraph"/>
        <w:numPr>
          <w:ilvl w:val="2"/>
          <w:numId w:val="4"/>
        </w:numPr>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Total Compensation (by percentile)</w:t>
      </w:r>
    </w:p>
    <w:p w:rsidR="00B525B1" w:rsidRPr="00B525B1" w:rsidRDefault="00B525B1" w:rsidP="00B525B1">
      <w:pPr>
        <w:pStyle w:val="ListParagraph"/>
        <w:numPr>
          <w:ilvl w:val="2"/>
          <w:numId w:val="4"/>
        </w:numPr>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Gross Professional Revenue (by percentile)</w:t>
      </w:r>
    </w:p>
    <w:p w:rsidR="00B525B1" w:rsidRPr="00B525B1" w:rsidRDefault="00B525B1" w:rsidP="00B525B1">
      <w:pPr>
        <w:pStyle w:val="ListParagraph"/>
        <w:numPr>
          <w:ilvl w:val="2"/>
          <w:numId w:val="4"/>
        </w:numPr>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Work Relative Value Units (</w:t>
      </w:r>
      <w:proofErr w:type="spellStart"/>
      <w:r w:rsidRPr="00B525B1">
        <w:rPr>
          <w:rFonts w:ascii="Tahoma" w:eastAsia="Times New Roman" w:hAnsi="Tahoma" w:cs="Tahoma"/>
          <w:color w:val="020202"/>
          <w:sz w:val="20"/>
          <w:szCs w:val="20"/>
          <w:lang w:val="en-GB"/>
        </w:rPr>
        <w:t>wRVU</w:t>
      </w:r>
      <w:proofErr w:type="spellEnd"/>
      <w:r w:rsidRPr="00B525B1">
        <w:rPr>
          <w:rFonts w:ascii="Tahoma" w:eastAsia="Times New Roman" w:hAnsi="Tahoma" w:cs="Tahoma"/>
          <w:color w:val="020202"/>
          <w:sz w:val="20"/>
          <w:szCs w:val="20"/>
          <w:lang w:val="en-GB"/>
        </w:rPr>
        <w:t xml:space="preserve"> by percentile)</w:t>
      </w:r>
    </w:p>
    <w:p w:rsidR="00B525B1" w:rsidRPr="00B525B1" w:rsidRDefault="00B525B1" w:rsidP="00B525B1">
      <w:pPr>
        <w:pStyle w:val="ListParagraph"/>
        <w:numPr>
          <w:ilvl w:val="2"/>
          <w:numId w:val="4"/>
        </w:numPr>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Compensation Conversion Factor (Compensation/</w:t>
      </w:r>
      <w:proofErr w:type="spellStart"/>
      <w:r w:rsidRPr="00B525B1">
        <w:rPr>
          <w:rFonts w:ascii="Tahoma" w:eastAsia="Times New Roman" w:hAnsi="Tahoma" w:cs="Tahoma"/>
          <w:color w:val="020202"/>
          <w:sz w:val="20"/>
          <w:szCs w:val="20"/>
          <w:lang w:val="en-GB"/>
        </w:rPr>
        <w:t>wRVU</w:t>
      </w:r>
      <w:proofErr w:type="spellEnd"/>
      <w:r w:rsidRPr="00B525B1">
        <w:rPr>
          <w:rFonts w:ascii="Tahoma" w:eastAsia="Times New Roman" w:hAnsi="Tahoma" w:cs="Tahoma"/>
          <w:color w:val="020202"/>
          <w:sz w:val="20"/>
          <w:szCs w:val="20"/>
          <w:lang w:val="en-GB"/>
        </w:rPr>
        <w:t xml:space="preserve"> by percentile)</w:t>
      </w:r>
    </w:p>
    <w:p w:rsidR="00B525B1" w:rsidRPr="00B525B1" w:rsidRDefault="00B525B1" w:rsidP="00B525B1">
      <w:pPr>
        <w:pStyle w:val="ListParagraph"/>
        <w:numPr>
          <w:ilvl w:val="0"/>
          <w:numId w:val="2"/>
        </w:numPr>
        <w:shd w:val="clear" w:color="auto" w:fill="FFFFFF"/>
        <w:spacing w:after="0" w:line="360" w:lineRule="atLeast"/>
        <w:ind w:left="36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MGMA Cost and Revenue Data, AMGA Medical Group Operations and Finance Survey and MMGA Practice Operations Data:  Cost, revenue, operations and finance data provides measure to benchmark and improve:</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revenue cycle management,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operating expense (by category),</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staffing models,</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support staff salaries and benefits,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operational indicators:</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access,</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staffing standards, and </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management costs,</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hours of operations, </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appointments, </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wait times and </w:t>
      </w:r>
    </w:p>
    <w:p w:rsidR="00B525B1" w:rsidRPr="00B525B1" w:rsidRDefault="00B525B1" w:rsidP="00B525B1">
      <w:pPr>
        <w:pStyle w:val="ListParagraph"/>
        <w:numPr>
          <w:ilvl w:val="2"/>
          <w:numId w:val="2"/>
        </w:numPr>
        <w:shd w:val="clear" w:color="auto" w:fill="FFFFFF"/>
        <w:spacing w:after="0" w:line="360" w:lineRule="atLeast"/>
        <w:ind w:left="180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lastRenderedPageBreak/>
        <w:t>no-shows.</w:t>
      </w:r>
    </w:p>
    <w:p w:rsidR="00B525B1" w:rsidRPr="00B525B1" w:rsidRDefault="00B525B1" w:rsidP="00B525B1">
      <w:pPr>
        <w:pStyle w:val="ListParagraph"/>
        <w:numPr>
          <w:ilvl w:val="0"/>
          <w:numId w:val="2"/>
        </w:numPr>
        <w:shd w:val="clear" w:color="auto" w:fill="FFFFFF"/>
        <w:spacing w:after="0" w:line="360" w:lineRule="atLeast"/>
        <w:ind w:left="36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MGMA Management and Staff Compensation Data, AMGA Executive, Leadership Compensation Survey and AMGA Physician Retention Survey, Sullivan Cotter Surveys provide information to attract and retain  highly qualified:</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 physicians,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other providers,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leadership,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management and </w:t>
      </w:r>
    </w:p>
    <w:p w:rsidR="00B525B1" w:rsidRPr="00B525B1" w:rsidRDefault="00B525B1" w:rsidP="00B525B1">
      <w:pPr>
        <w:pStyle w:val="ListParagraph"/>
        <w:numPr>
          <w:ilvl w:val="1"/>
          <w:numId w:val="2"/>
        </w:numPr>
        <w:shd w:val="clear" w:color="auto" w:fill="FFFFFF"/>
        <w:spacing w:after="0" w:line="360" w:lineRule="atLeast"/>
        <w:ind w:left="1080"/>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support staff.</w:t>
      </w:r>
    </w:p>
    <w:p w:rsidR="00B525B1" w:rsidRPr="00B525B1" w:rsidRDefault="00B525B1" w:rsidP="00B525B1">
      <w:pPr>
        <w:shd w:val="clear" w:color="auto" w:fill="FFFFFF"/>
        <w:spacing w:after="0" w:line="360" w:lineRule="atLeast"/>
        <w:rPr>
          <w:rFonts w:ascii="Tahoma" w:eastAsia="Times New Roman" w:hAnsi="Tahoma" w:cs="Tahoma"/>
          <w:b/>
          <w:color w:val="020202"/>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r w:rsidRPr="00B525B1">
        <w:rPr>
          <w:rFonts w:ascii="Tahoma" w:eastAsia="Times New Roman" w:hAnsi="Tahoma" w:cs="Tahoma"/>
          <w:b/>
          <w:color w:val="020202"/>
          <w:lang w:val="en-GB"/>
        </w:rPr>
        <w:t>Service Excellence</w:t>
      </w:r>
      <w:r w:rsidRPr="00B525B1">
        <w:rPr>
          <w:rFonts w:ascii="Tahoma" w:eastAsia="Times New Roman" w:hAnsi="Tahoma" w:cs="Tahoma"/>
          <w:color w:val="020202"/>
          <w:lang w:val="en-GB"/>
        </w:rPr>
        <w:t xml:space="preserve">: </w:t>
      </w: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p>
    <w:p w:rsidR="00B525B1" w:rsidRPr="00B525B1" w:rsidRDefault="00B525B1" w:rsidP="00B525B1">
      <w:pPr>
        <w:shd w:val="clear" w:color="auto" w:fill="FFFFFF"/>
        <w:spacing w:after="0" w:line="360" w:lineRule="atLeast"/>
        <w:rPr>
          <w:rFonts w:ascii="Tahoma" w:eastAsia="Times New Roman" w:hAnsi="Tahoma" w:cs="Tahoma"/>
          <w:i/>
          <w:color w:val="020202"/>
          <w:sz w:val="20"/>
          <w:szCs w:val="20"/>
          <w:lang w:val="en"/>
        </w:rPr>
      </w:pPr>
      <w:r w:rsidRPr="00B525B1">
        <w:rPr>
          <w:rFonts w:ascii="Tahoma" w:eastAsia="Times New Roman" w:hAnsi="Tahoma" w:cs="Tahoma"/>
          <w:b/>
          <w:color w:val="020202"/>
          <w:sz w:val="20"/>
          <w:szCs w:val="20"/>
          <w:lang w:val="en-GB"/>
        </w:rPr>
        <w:t>Consumer Assessment of Healthcare Providers and Systems (CAHPS®)</w:t>
      </w:r>
      <w:r w:rsidRPr="00B525B1">
        <w:rPr>
          <w:rFonts w:ascii="Tahoma" w:eastAsia="Times New Roman" w:hAnsi="Tahoma" w:cs="Tahoma"/>
          <w:color w:val="020202"/>
          <w:sz w:val="20"/>
          <w:szCs w:val="20"/>
          <w:lang w:val="en-GB"/>
        </w:rPr>
        <w:t xml:space="preserve"> surveys ask consumers and patients to report on and evaluate their experiences with health care. These surveys cover topics that are important to consumers and focus on aspects of quality that consumers are best qualified to assess, such as the communication skills of providers and ease of access to health care services.  </w:t>
      </w:r>
      <w:r w:rsidRPr="00B525B1">
        <w:rPr>
          <w:rFonts w:ascii="Tahoma" w:eastAsia="Times New Roman" w:hAnsi="Tahoma" w:cs="Tahoma"/>
          <w:color w:val="020202"/>
          <w:sz w:val="20"/>
          <w:szCs w:val="20"/>
          <w:lang w:val="en"/>
        </w:rPr>
        <w:t xml:space="preserve">The Centers for Medicare &amp; Medicaid Services (CMS) develop, implement and administer several different patient experience surveys.  These surveys ask patients (or in some cases their families) about their experiences with, and ratings of, their health care providers and plans, including hospitals, home health care agencies, doctors, and health and drug plans, among others.  The surveys focus on matters that patients themselves say are important to them.   Patients are the best and/or only source of information for the information requested.  CMS publicly reports the results of its patient experience surveys, and some surveys affect payments to CMS providers.  The acronym "CAHPS" is a registered trademark of  and available through the </w:t>
      </w:r>
      <w:r w:rsidRPr="00B525B1">
        <w:rPr>
          <w:rFonts w:ascii="Tahoma" w:eastAsia="Times New Roman" w:hAnsi="Tahoma" w:cs="Tahoma"/>
          <w:i/>
          <w:color w:val="020202"/>
          <w:sz w:val="20"/>
          <w:szCs w:val="20"/>
          <w:lang w:val="en"/>
        </w:rPr>
        <w:t xml:space="preserve">Agency for Healthcare Research and Quality (AHRQ).  </w:t>
      </w:r>
      <w:r w:rsidRPr="00B525B1">
        <w:rPr>
          <w:rFonts w:ascii="Tahoma" w:eastAsia="Times New Roman" w:hAnsi="Tahoma" w:cs="Tahoma"/>
          <w:color w:val="020202"/>
          <w:sz w:val="20"/>
          <w:szCs w:val="20"/>
          <w:lang w:val="en"/>
        </w:rPr>
        <w:t>CAHPS surveys are available across most types of healthcare:  Hospitals, Home Health CAHPS, Medicare Advantage and Prescription Drug Plan, In-Center Hemodialysis, Hospice, Physician Practices, and others.    The focus of this article will define the consumer assessment primarily in the physician practice setting.</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b/>
          <w:color w:val="020202"/>
          <w:sz w:val="20"/>
          <w:szCs w:val="20"/>
          <w:lang w:val="en-GB"/>
        </w:rPr>
        <w:t xml:space="preserve">Clinician &amp; Group Survey (CG-CAHPS):  </w:t>
      </w:r>
      <w:r w:rsidRPr="00B525B1">
        <w:rPr>
          <w:rFonts w:ascii="Tahoma" w:eastAsia="Times New Roman" w:hAnsi="Tahoma" w:cs="Tahoma"/>
          <w:color w:val="020202"/>
          <w:sz w:val="20"/>
          <w:szCs w:val="20"/>
          <w:lang w:val="en-GB"/>
        </w:rPr>
        <w:t xml:space="preserve">Assesses patients' experiences with health care providers and staff in doctors' offices. Survey results can be used to:  improve care provided by individual providers, sites of care, medical groups, or provider networks; and equip consumers with information they can use to choose physicians and other health care providers, physician practices, or medical groups.  The survey provides in sections/categories for ease of interpretation:  </w:t>
      </w:r>
    </w:p>
    <w:p w:rsidR="00B525B1" w:rsidRPr="00B525B1" w:rsidRDefault="00B525B1" w:rsidP="00B525B1">
      <w:pPr>
        <w:pStyle w:val="ListParagraph"/>
        <w:numPr>
          <w:ilvl w:val="0"/>
          <w:numId w:val="5"/>
        </w:numPr>
        <w:shd w:val="clear" w:color="auto" w:fill="FFFFFF"/>
        <w:spacing w:after="0" w:line="360" w:lineRule="atLeast"/>
        <w:ind w:left="720"/>
        <w:rPr>
          <w:rFonts w:ascii="Tahoma" w:eastAsia="Times New Roman" w:hAnsi="Tahoma" w:cs="Tahoma"/>
          <w:color w:val="020202"/>
          <w:sz w:val="20"/>
          <w:szCs w:val="20"/>
          <w:lang w:val="en-GB"/>
        </w:rPr>
      </w:pPr>
      <w:r w:rsidRPr="00B525B1">
        <w:rPr>
          <w:rFonts w:ascii="Tahoma" w:eastAsia="Times New Roman" w:hAnsi="Tahoma" w:cs="Tahoma"/>
          <w:i/>
          <w:color w:val="020202"/>
          <w:sz w:val="20"/>
          <w:szCs w:val="20"/>
          <w:lang w:val="en-GB"/>
        </w:rPr>
        <w:t>Access to Care</w:t>
      </w:r>
      <w:r w:rsidRPr="00B525B1">
        <w:rPr>
          <w:rFonts w:ascii="Tahoma" w:eastAsia="Times New Roman" w:hAnsi="Tahoma" w:cs="Tahoma"/>
          <w:color w:val="020202"/>
          <w:sz w:val="20"/>
          <w:szCs w:val="20"/>
          <w:lang w:val="en-GB"/>
        </w:rPr>
        <w:t xml:space="preserve"> (5 questions); </w:t>
      </w:r>
      <w:r w:rsidRPr="00B525B1">
        <w:rPr>
          <w:rFonts w:ascii="Tahoma" w:eastAsia="Times New Roman" w:hAnsi="Tahoma" w:cs="Tahoma"/>
          <w:i/>
          <w:color w:val="020202"/>
          <w:sz w:val="20"/>
          <w:szCs w:val="20"/>
          <w:lang w:val="en-GB"/>
        </w:rPr>
        <w:t>Provider Communication</w:t>
      </w:r>
      <w:r w:rsidRPr="00B525B1">
        <w:rPr>
          <w:rFonts w:ascii="Tahoma" w:eastAsia="Times New Roman" w:hAnsi="Tahoma" w:cs="Tahoma"/>
          <w:color w:val="020202"/>
          <w:sz w:val="20"/>
          <w:szCs w:val="20"/>
          <w:lang w:val="en-GB"/>
        </w:rPr>
        <w:t xml:space="preserve"> (6 questions); </w:t>
      </w:r>
    </w:p>
    <w:p w:rsidR="00B525B1" w:rsidRPr="00B525B1" w:rsidRDefault="00B525B1" w:rsidP="00B525B1">
      <w:pPr>
        <w:pStyle w:val="ListParagraph"/>
        <w:numPr>
          <w:ilvl w:val="0"/>
          <w:numId w:val="5"/>
        </w:numPr>
        <w:shd w:val="clear" w:color="auto" w:fill="FFFFFF"/>
        <w:spacing w:after="0" w:line="360" w:lineRule="atLeast"/>
        <w:ind w:left="720"/>
        <w:rPr>
          <w:rFonts w:ascii="Tahoma" w:eastAsia="Times New Roman" w:hAnsi="Tahoma" w:cs="Tahoma"/>
          <w:color w:val="020202"/>
          <w:sz w:val="20"/>
          <w:szCs w:val="20"/>
          <w:lang w:val="en-GB"/>
        </w:rPr>
      </w:pPr>
      <w:r w:rsidRPr="00B525B1">
        <w:rPr>
          <w:rFonts w:ascii="Tahoma" w:eastAsia="Times New Roman" w:hAnsi="Tahoma" w:cs="Tahoma"/>
          <w:i/>
          <w:color w:val="020202"/>
          <w:sz w:val="20"/>
          <w:szCs w:val="20"/>
          <w:lang w:val="en-GB"/>
        </w:rPr>
        <w:t>Test Results</w:t>
      </w:r>
      <w:r w:rsidRPr="00B525B1">
        <w:rPr>
          <w:rFonts w:ascii="Tahoma" w:eastAsia="Times New Roman" w:hAnsi="Tahoma" w:cs="Tahoma"/>
          <w:color w:val="020202"/>
          <w:sz w:val="20"/>
          <w:szCs w:val="20"/>
          <w:lang w:val="en-GB"/>
        </w:rPr>
        <w:t xml:space="preserve"> (1 question); </w:t>
      </w:r>
    </w:p>
    <w:p w:rsidR="00B525B1" w:rsidRPr="00B525B1" w:rsidRDefault="00B525B1" w:rsidP="00B525B1">
      <w:pPr>
        <w:pStyle w:val="ListParagraph"/>
        <w:numPr>
          <w:ilvl w:val="0"/>
          <w:numId w:val="5"/>
        </w:numPr>
        <w:shd w:val="clear" w:color="auto" w:fill="FFFFFF"/>
        <w:spacing w:after="0" w:line="360" w:lineRule="atLeast"/>
        <w:ind w:left="720"/>
        <w:rPr>
          <w:rFonts w:ascii="Tahoma" w:eastAsia="Times New Roman" w:hAnsi="Tahoma" w:cs="Tahoma"/>
          <w:color w:val="020202"/>
          <w:sz w:val="20"/>
          <w:szCs w:val="20"/>
          <w:lang w:val="en-GB"/>
        </w:rPr>
      </w:pPr>
      <w:r w:rsidRPr="00B525B1">
        <w:rPr>
          <w:rFonts w:ascii="Tahoma" w:eastAsia="Times New Roman" w:hAnsi="Tahoma" w:cs="Tahoma"/>
          <w:i/>
          <w:color w:val="020202"/>
          <w:sz w:val="20"/>
          <w:szCs w:val="20"/>
          <w:lang w:val="en-GB"/>
        </w:rPr>
        <w:t>Office Staff</w:t>
      </w:r>
      <w:r w:rsidRPr="00B525B1">
        <w:rPr>
          <w:rFonts w:ascii="Tahoma" w:eastAsia="Times New Roman" w:hAnsi="Tahoma" w:cs="Tahoma"/>
          <w:color w:val="020202"/>
          <w:sz w:val="20"/>
          <w:szCs w:val="20"/>
          <w:lang w:val="en-GB"/>
        </w:rPr>
        <w:t xml:space="preserve"> (2 questions); and </w:t>
      </w:r>
    </w:p>
    <w:p w:rsidR="00B525B1" w:rsidRPr="00B525B1" w:rsidRDefault="00B525B1" w:rsidP="00B525B1">
      <w:pPr>
        <w:pStyle w:val="ListParagraph"/>
        <w:numPr>
          <w:ilvl w:val="0"/>
          <w:numId w:val="5"/>
        </w:numPr>
        <w:shd w:val="clear" w:color="auto" w:fill="FFFFFF"/>
        <w:spacing w:after="0" w:line="360" w:lineRule="atLeast"/>
        <w:ind w:left="720"/>
        <w:rPr>
          <w:rFonts w:ascii="Tahoma" w:eastAsia="Times New Roman" w:hAnsi="Tahoma" w:cs="Tahoma"/>
          <w:color w:val="020202"/>
          <w:sz w:val="20"/>
          <w:szCs w:val="20"/>
          <w:lang w:val="en-GB"/>
        </w:rPr>
      </w:pPr>
      <w:r w:rsidRPr="00B525B1">
        <w:rPr>
          <w:rFonts w:ascii="Tahoma" w:eastAsia="Times New Roman" w:hAnsi="Tahoma" w:cs="Tahoma"/>
          <w:i/>
          <w:color w:val="020202"/>
          <w:sz w:val="20"/>
          <w:szCs w:val="20"/>
          <w:lang w:val="en-GB"/>
        </w:rPr>
        <w:lastRenderedPageBreak/>
        <w:t>Overall Provider Rating</w:t>
      </w:r>
      <w:r w:rsidRPr="00B525B1">
        <w:rPr>
          <w:rFonts w:ascii="Tahoma" w:eastAsia="Times New Roman" w:hAnsi="Tahoma" w:cs="Tahoma"/>
          <w:color w:val="020202"/>
          <w:sz w:val="20"/>
          <w:szCs w:val="20"/>
          <w:lang w:val="en-GB"/>
        </w:rPr>
        <w:t xml:space="preserve"> (1 question).</w:t>
      </w:r>
    </w:p>
    <w:p w:rsidR="00B525B1" w:rsidRPr="00B525B1" w:rsidRDefault="00B525B1" w:rsidP="00B525B1">
      <w:pPr>
        <w:shd w:val="clear" w:color="auto" w:fill="FFFFFF"/>
        <w:spacing w:after="0" w:line="360" w:lineRule="atLeast"/>
        <w:ind w:left="-720"/>
        <w:rPr>
          <w:rFonts w:ascii="Tahoma" w:eastAsia="Times New Roman" w:hAnsi="Tahoma" w:cs="Tahoma"/>
          <w:color w:val="020202"/>
          <w:sz w:val="20"/>
          <w:szCs w:val="20"/>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b/>
          <w:color w:val="020202"/>
          <w:sz w:val="20"/>
          <w:szCs w:val="20"/>
          <w:lang w:val="en-GB"/>
        </w:rPr>
        <w:t xml:space="preserve">CAHPS for PQRS: </w:t>
      </w:r>
      <w:r w:rsidRPr="00B525B1">
        <w:rPr>
          <w:rFonts w:ascii="Tahoma" w:eastAsia="Times New Roman" w:hAnsi="Tahoma" w:cs="Tahoma"/>
          <w:color w:val="020202"/>
          <w:sz w:val="20"/>
          <w:szCs w:val="20"/>
          <w:lang w:val="en-GB"/>
        </w:rPr>
        <w:t xml:space="preserve">The CAHPS for PQRS survey was developed to collect information about patient experience and care within medical group practices participating in the Physician Quality Reporting System (PQRS).  The Physician Quality Reporting System (PQRS) is a quality reporting program that encourages individual eligible professionals (EPs) and group practices to report information on the quality of care they provide to Medicare. </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
        </w:rPr>
      </w:pPr>
      <w:r w:rsidRPr="00B525B1">
        <w:rPr>
          <w:rFonts w:ascii="Tahoma" w:eastAsia="Times New Roman" w:hAnsi="Tahoma" w:cs="Tahoma"/>
          <w:b/>
          <w:bCs/>
          <w:color w:val="020202"/>
          <w:sz w:val="20"/>
          <w:szCs w:val="20"/>
          <w:lang w:val="en"/>
        </w:rPr>
        <w:t xml:space="preserve">CAHPS for MIPS Survey:   </w:t>
      </w:r>
      <w:r w:rsidRPr="00B525B1">
        <w:rPr>
          <w:rFonts w:ascii="Tahoma" w:eastAsia="Times New Roman" w:hAnsi="Tahoma" w:cs="Tahoma"/>
          <w:color w:val="020202"/>
          <w:sz w:val="20"/>
          <w:szCs w:val="20"/>
          <w:lang w:val="en"/>
        </w:rPr>
        <w:t>The Merit-based Incentive Payment System (MIPS) is one track of the Quality Payment Program, where clinicians earn a performance-based payment adjustment to their Medicare payment. Clinicians participating in MIPS have the flexibility to choose the measures and activities that are most meaningful to their practice to demonstrate performance. The CAHPS for MIPS survey is an optional quality measure that groups participating in MIPS can elect to administer. It would count, in the quality performance category, as a patient experience measure. Additionally, a MIPS eligible clinician may also be awarded points under the improvement activities performance category for administering the survey.</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r w:rsidRPr="00B525B1">
        <w:rPr>
          <w:rFonts w:ascii="Tahoma" w:eastAsia="Times New Roman" w:hAnsi="Tahoma" w:cs="Tahoma"/>
          <w:b/>
          <w:color w:val="020202"/>
          <w:lang w:val="en-GB"/>
        </w:rPr>
        <w:t>Clinical Excellence</w:t>
      </w:r>
      <w:r w:rsidRPr="00B525B1">
        <w:rPr>
          <w:rFonts w:ascii="Tahoma" w:eastAsia="Times New Roman" w:hAnsi="Tahoma" w:cs="Tahoma"/>
          <w:color w:val="020202"/>
          <w:lang w:val="en-GB"/>
        </w:rPr>
        <w:t>:</w:t>
      </w:r>
    </w:p>
    <w:p w:rsidR="00B525B1" w:rsidRPr="00B525B1" w:rsidRDefault="00B525B1" w:rsidP="00B525B1">
      <w:pPr>
        <w:shd w:val="clear" w:color="auto" w:fill="FFFFFF"/>
        <w:spacing w:after="0" w:line="360" w:lineRule="atLeast"/>
        <w:rPr>
          <w:rFonts w:ascii="Tahoma" w:eastAsia="Times New Roman" w:hAnsi="Tahoma" w:cs="Tahoma"/>
          <w:color w:val="020202"/>
          <w:lang w:val="en-GB"/>
        </w:rPr>
      </w:pP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The passage of the </w:t>
      </w:r>
      <w:r w:rsidRPr="00B525B1">
        <w:rPr>
          <w:rFonts w:ascii="Tahoma" w:eastAsia="Times New Roman" w:hAnsi="Tahoma" w:cs="Tahoma"/>
          <w:i/>
          <w:color w:val="020202"/>
          <w:sz w:val="20"/>
          <w:szCs w:val="20"/>
          <w:lang w:val="en-GB"/>
        </w:rPr>
        <w:t>Medicare Access and Children’s Health Insurance Program (CHIP) Reauthorization Act</w:t>
      </w:r>
      <w:r w:rsidRPr="00B525B1">
        <w:rPr>
          <w:rFonts w:ascii="Tahoma" w:eastAsia="Times New Roman" w:hAnsi="Tahoma" w:cs="Tahoma"/>
          <w:color w:val="020202"/>
          <w:sz w:val="20"/>
          <w:szCs w:val="20"/>
          <w:lang w:val="en-GB"/>
        </w:rPr>
        <w:t xml:space="preserve"> (</w:t>
      </w:r>
      <w:r w:rsidRPr="00B525B1">
        <w:rPr>
          <w:rFonts w:ascii="Tahoma" w:eastAsia="Times New Roman" w:hAnsi="Tahoma" w:cs="Tahoma"/>
          <w:i/>
          <w:color w:val="020202"/>
          <w:sz w:val="20"/>
          <w:szCs w:val="20"/>
          <w:lang w:val="en-GB"/>
        </w:rPr>
        <w:t>MACRA</w:t>
      </w:r>
      <w:r w:rsidRPr="00B525B1">
        <w:rPr>
          <w:rFonts w:ascii="Tahoma" w:eastAsia="Times New Roman" w:hAnsi="Tahoma" w:cs="Tahoma"/>
          <w:color w:val="020202"/>
          <w:sz w:val="20"/>
          <w:szCs w:val="20"/>
          <w:lang w:val="en-GB"/>
        </w:rPr>
        <w:t xml:space="preserve">) supports an ongoing transformation of health care delivery by furthering the development of new Medicare payment and delivery models for physicians and other clinicians.  Health and Human Services (HHS) has developed a plan for the development of quality measures for application under certain applicable provisions related to the new </w:t>
      </w:r>
      <w:r w:rsidRPr="00B525B1">
        <w:rPr>
          <w:rFonts w:ascii="Tahoma" w:eastAsia="Times New Roman" w:hAnsi="Tahoma" w:cs="Tahoma"/>
          <w:i/>
          <w:color w:val="020202"/>
          <w:sz w:val="20"/>
          <w:szCs w:val="20"/>
          <w:lang w:val="en-GB"/>
        </w:rPr>
        <w:t>Medicare Merit-based Incentive Payment System (MIPS)</w:t>
      </w:r>
      <w:r w:rsidRPr="00B525B1">
        <w:rPr>
          <w:rFonts w:ascii="Tahoma" w:eastAsia="Times New Roman" w:hAnsi="Tahoma" w:cs="Tahoma"/>
          <w:color w:val="020202"/>
          <w:sz w:val="20"/>
          <w:szCs w:val="20"/>
          <w:lang w:val="en-GB"/>
        </w:rPr>
        <w:t xml:space="preserve"> and to eligible </w:t>
      </w:r>
      <w:r w:rsidRPr="00B525B1">
        <w:rPr>
          <w:rFonts w:ascii="Tahoma" w:eastAsia="Times New Roman" w:hAnsi="Tahoma" w:cs="Tahoma"/>
          <w:i/>
          <w:color w:val="020202"/>
          <w:sz w:val="20"/>
          <w:szCs w:val="20"/>
          <w:lang w:val="en-GB"/>
        </w:rPr>
        <w:t>Medicare alternative payment models (APMs).</w:t>
      </w:r>
      <w:r w:rsidRPr="00B525B1">
        <w:rPr>
          <w:rFonts w:ascii="Tahoma" w:eastAsia="Times New Roman" w:hAnsi="Tahoma" w:cs="Tahoma"/>
          <w:color w:val="020202"/>
          <w:sz w:val="20"/>
          <w:szCs w:val="20"/>
          <w:lang w:val="en-GB"/>
        </w:rPr>
        <w:t xml:space="preserve">  MACRA provides both a mandate and an opportunity for CMS to leverage quality measure development as a key driver to further the aims of the CMS Quality Strategy:</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pStyle w:val="ListParagraph"/>
        <w:numPr>
          <w:ilvl w:val="0"/>
          <w:numId w:val="6"/>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Better Care</w:t>
      </w:r>
    </w:p>
    <w:p w:rsidR="00B525B1" w:rsidRPr="00B525B1" w:rsidRDefault="00B525B1" w:rsidP="00B525B1">
      <w:pPr>
        <w:pStyle w:val="ListParagraph"/>
        <w:numPr>
          <w:ilvl w:val="0"/>
          <w:numId w:val="6"/>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Smarter Spending</w:t>
      </w:r>
    </w:p>
    <w:p w:rsidR="00B525B1" w:rsidRPr="00B525B1" w:rsidRDefault="00B525B1" w:rsidP="00B525B1">
      <w:pPr>
        <w:pStyle w:val="ListParagraph"/>
        <w:numPr>
          <w:ilvl w:val="0"/>
          <w:numId w:val="6"/>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Healthier People</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Default="00B525B1" w:rsidP="00B525B1">
      <w:pPr>
        <w:shd w:val="clear" w:color="auto" w:fill="FFFFFF"/>
        <w:spacing w:after="0" w:line="360" w:lineRule="atLeast"/>
        <w:rPr>
          <w:rFonts w:ascii="Tahoma" w:eastAsia="Times New Roman" w:hAnsi="Tahoma" w:cs="Tahoma"/>
          <w:b/>
          <w:color w:val="020202"/>
          <w:sz w:val="20"/>
          <w:szCs w:val="20"/>
          <w:lang w:val="en-GB"/>
        </w:rPr>
      </w:pPr>
    </w:p>
    <w:p w:rsidR="00B525B1" w:rsidRDefault="00B525B1" w:rsidP="00B525B1">
      <w:pPr>
        <w:shd w:val="clear" w:color="auto" w:fill="FFFFFF"/>
        <w:spacing w:after="0" w:line="360" w:lineRule="atLeast"/>
        <w:rPr>
          <w:rFonts w:ascii="Tahoma" w:eastAsia="Times New Roman" w:hAnsi="Tahoma" w:cs="Tahoma"/>
          <w:b/>
          <w:color w:val="020202"/>
          <w:sz w:val="20"/>
          <w:szCs w:val="20"/>
          <w:lang w:val="en-GB"/>
        </w:rPr>
      </w:pPr>
    </w:p>
    <w:p w:rsidR="00B525B1" w:rsidRDefault="00B525B1" w:rsidP="00B525B1">
      <w:pPr>
        <w:shd w:val="clear" w:color="auto" w:fill="FFFFFF"/>
        <w:spacing w:after="0" w:line="360" w:lineRule="atLeast"/>
        <w:rPr>
          <w:rFonts w:ascii="Tahoma" w:eastAsia="Times New Roman" w:hAnsi="Tahoma" w:cs="Tahoma"/>
          <w:b/>
          <w:color w:val="020202"/>
          <w:sz w:val="20"/>
          <w:szCs w:val="20"/>
          <w:lang w:val="en-GB"/>
        </w:rPr>
      </w:pPr>
    </w:p>
    <w:p w:rsidR="00B525B1" w:rsidRDefault="00B525B1" w:rsidP="00B525B1">
      <w:pPr>
        <w:shd w:val="clear" w:color="auto" w:fill="FFFFFF"/>
        <w:spacing w:after="0" w:line="360" w:lineRule="atLeast"/>
        <w:rPr>
          <w:rFonts w:ascii="Tahoma" w:eastAsia="Times New Roman" w:hAnsi="Tahoma" w:cs="Tahoma"/>
          <w:b/>
          <w:color w:val="020202"/>
          <w:sz w:val="20"/>
          <w:szCs w:val="20"/>
          <w:lang w:val="en-GB"/>
        </w:rPr>
      </w:pPr>
    </w:p>
    <w:p w:rsidR="00B525B1" w:rsidRPr="00B525B1" w:rsidRDefault="00B525B1" w:rsidP="00B525B1">
      <w:pPr>
        <w:shd w:val="clear" w:color="auto" w:fill="FFFFFF"/>
        <w:spacing w:after="0" w:line="360" w:lineRule="atLeast"/>
        <w:rPr>
          <w:rFonts w:ascii="Tahoma" w:hAnsi="Tahoma" w:cs="Tahoma"/>
          <w:b/>
          <w:sz w:val="20"/>
          <w:szCs w:val="20"/>
        </w:rPr>
      </w:pPr>
      <w:r w:rsidRPr="00B525B1">
        <w:rPr>
          <w:rFonts w:ascii="Tahoma" w:eastAsia="Times New Roman" w:hAnsi="Tahoma" w:cs="Tahoma"/>
          <w:b/>
          <w:color w:val="020202"/>
          <w:sz w:val="20"/>
          <w:szCs w:val="20"/>
          <w:lang w:val="en-GB"/>
        </w:rPr>
        <w:t>T</w:t>
      </w:r>
      <w:r w:rsidRPr="00B525B1">
        <w:rPr>
          <w:rFonts w:ascii="Tahoma" w:hAnsi="Tahoma" w:cs="Tahoma"/>
          <w:b/>
          <w:sz w:val="20"/>
          <w:szCs w:val="20"/>
        </w:rPr>
        <w:t xml:space="preserve">he CMS Quality Measure Development Plan (MDP):  </w:t>
      </w:r>
    </w:p>
    <w:p w:rsidR="00B525B1" w:rsidRPr="00B525B1" w:rsidRDefault="00B525B1" w:rsidP="00B525B1">
      <w:pPr>
        <w:shd w:val="clear" w:color="auto" w:fill="FFFFFF"/>
        <w:spacing w:after="0" w:line="360" w:lineRule="atLeast"/>
        <w:rPr>
          <w:rFonts w:ascii="Tahoma" w:hAnsi="Tahoma" w:cs="Tahoma"/>
          <w:b/>
          <w:sz w:val="20"/>
          <w:szCs w:val="20"/>
        </w:rPr>
      </w:pPr>
    </w:p>
    <w:p w:rsidR="00B525B1" w:rsidRPr="00B525B1" w:rsidRDefault="00B525B1" w:rsidP="00B525B1">
      <w:pPr>
        <w:shd w:val="clear" w:color="auto" w:fill="FFFFFF"/>
        <w:spacing w:after="0" w:line="360" w:lineRule="atLeast"/>
        <w:rPr>
          <w:rFonts w:ascii="Tahoma" w:hAnsi="Tahoma" w:cs="Tahoma"/>
          <w:b/>
          <w:sz w:val="20"/>
          <w:szCs w:val="20"/>
        </w:rPr>
      </w:pPr>
      <w:r w:rsidRPr="00B525B1">
        <w:rPr>
          <w:rFonts w:ascii="Tahoma" w:hAnsi="Tahoma" w:cs="Tahoma"/>
          <w:sz w:val="20"/>
          <w:szCs w:val="20"/>
        </w:rPr>
        <w:t xml:space="preserve">The </w:t>
      </w:r>
      <w:r w:rsidRPr="00B525B1">
        <w:rPr>
          <w:rFonts w:ascii="Tahoma" w:hAnsi="Tahoma" w:cs="Tahoma"/>
          <w:i/>
          <w:sz w:val="20"/>
          <w:szCs w:val="20"/>
        </w:rPr>
        <w:t>Quality Measure Development Plan (MDP),</w:t>
      </w:r>
      <w:r w:rsidRPr="00B525B1">
        <w:rPr>
          <w:rFonts w:ascii="Tahoma" w:hAnsi="Tahoma" w:cs="Tahoma"/>
          <w:sz w:val="20"/>
          <w:szCs w:val="20"/>
        </w:rPr>
        <w:t xml:space="preserve"> required by </w:t>
      </w:r>
      <w:r w:rsidRPr="00B525B1">
        <w:rPr>
          <w:rFonts w:ascii="Tahoma" w:hAnsi="Tahoma" w:cs="Tahoma"/>
          <w:i/>
          <w:sz w:val="20"/>
          <w:szCs w:val="20"/>
        </w:rPr>
        <w:t>MACRA</w:t>
      </w:r>
      <w:r w:rsidRPr="00B525B1">
        <w:rPr>
          <w:rFonts w:ascii="Tahoma" w:hAnsi="Tahoma" w:cs="Tahoma"/>
          <w:sz w:val="20"/>
          <w:szCs w:val="20"/>
        </w:rPr>
        <w:t xml:space="preserve">, is a focused framework to help us build and improve quality measures for clinicians. These quality measures will support MIPS and advanced APMs.  A link to the Quality Measure Development Plan is provided for ease of reference:  </w:t>
      </w:r>
      <w:hyperlink r:id="rId6" w:history="1">
        <w:r w:rsidRPr="00B525B1">
          <w:rPr>
            <w:rFonts w:ascii="Tahoma" w:eastAsia="Times New Roman" w:hAnsi="Tahoma" w:cs="Tahoma"/>
            <w:color w:val="006699"/>
            <w:sz w:val="20"/>
            <w:szCs w:val="20"/>
            <w:u w:val="single"/>
            <w:lang w:val="en"/>
          </w:rPr>
          <w:t>final Quality Measure Development Plan</w:t>
        </w:r>
      </w:hyperlink>
      <w:r w:rsidRPr="00B525B1">
        <w:rPr>
          <w:rFonts w:ascii="Tahoma" w:eastAsia="Times New Roman" w:hAnsi="Tahoma" w:cs="Tahoma"/>
          <w:sz w:val="20"/>
          <w:szCs w:val="20"/>
          <w:lang w:val="en"/>
        </w:rPr>
        <w:t>.</w:t>
      </w:r>
      <w:r w:rsidRPr="00B525B1">
        <w:rPr>
          <w:rFonts w:ascii="Tahoma" w:hAnsi="Tahoma" w:cs="Tahoma"/>
          <w:b/>
          <w:sz w:val="20"/>
          <w:szCs w:val="20"/>
        </w:rPr>
        <w:t xml:space="preserve">  </w:t>
      </w:r>
      <w:r w:rsidRPr="00B525B1">
        <w:rPr>
          <w:rFonts w:ascii="Tahoma" w:hAnsi="Tahoma" w:cs="Tahoma"/>
          <w:sz w:val="20"/>
          <w:szCs w:val="20"/>
        </w:rPr>
        <w:t>Initial Priorities for Measure Development by Quality Domain</w:t>
      </w:r>
      <w:r w:rsidRPr="00B525B1">
        <w:rPr>
          <w:rFonts w:ascii="Tahoma" w:hAnsi="Tahoma" w:cs="Tahoma"/>
          <w:b/>
          <w:sz w:val="20"/>
          <w:szCs w:val="20"/>
        </w:rPr>
        <w:t>:</w:t>
      </w:r>
    </w:p>
    <w:p w:rsidR="00B525B1" w:rsidRPr="00B525B1" w:rsidRDefault="00B525B1" w:rsidP="00B525B1">
      <w:pPr>
        <w:pStyle w:val="ListParagraph"/>
        <w:numPr>
          <w:ilvl w:val="0"/>
          <w:numId w:val="7"/>
        </w:numPr>
        <w:shd w:val="clear" w:color="auto" w:fill="FFFFFF"/>
        <w:spacing w:after="0" w:line="360" w:lineRule="atLeast"/>
        <w:rPr>
          <w:rFonts w:ascii="Tahoma" w:hAnsi="Tahoma" w:cs="Tahoma"/>
          <w:b/>
          <w:sz w:val="20"/>
          <w:szCs w:val="20"/>
        </w:rPr>
      </w:pPr>
      <w:r w:rsidRPr="00B525B1">
        <w:rPr>
          <w:rFonts w:ascii="Tahoma" w:hAnsi="Tahoma" w:cs="Tahoma"/>
          <w:b/>
          <w:sz w:val="20"/>
          <w:szCs w:val="20"/>
        </w:rPr>
        <w:t>Clinical Care</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Measures incorporating patient preferences and shared decision-making</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Cross-cutting measures that may apply to more than one specialty</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Focused measures for specialties that have clear gaps</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Outcome measures</w:t>
      </w:r>
    </w:p>
    <w:p w:rsidR="00B525B1" w:rsidRPr="00B525B1" w:rsidRDefault="00B525B1" w:rsidP="00B525B1">
      <w:pPr>
        <w:pStyle w:val="ListParagraph"/>
        <w:numPr>
          <w:ilvl w:val="0"/>
          <w:numId w:val="7"/>
        </w:numPr>
        <w:shd w:val="clear" w:color="auto" w:fill="FFFFFF"/>
        <w:spacing w:after="0" w:line="360" w:lineRule="atLeast"/>
        <w:rPr>
          <w:rFonts w:ascii="Tahoma" w:hAnsi="Tahoma" w:cs="Tahoma"/>
          <w:b/>
          <w:sz w:val="20"/>
          <w:szCs w:val="20"/>
        </w:rPr>
      </w:pPr>
      <w:r w:rsidRPr="00B525B1">
        <w:rPr>
          <w:rFonts w:ascii="Tahoma" w:hAnsi="Tahoma" w:cs="Tahoma"/>
          <w:b/>
          <w:sz w:val="20"/>
          <w:szCs w:val="20"/>
        </w:rPr>
        <w:t>Safety</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 xml:space="preserve">Measures of diagnostic accuracy </w:t>
      </w:r>
    </w:p>
    <w:p w:rsidR="00B525B1" w:rsidRPr="00B525B1" w:rsidRDefault="00B525B1" w:rsidP="00B525B1">
      <w:pPr>
        <w:pStyle w:val="ListParagraph"/>
        <w:numPr>
          <w:ilvl w:val="1"/>
          <w:numId w:val="7"/>
        </w:numPr>
        <w:shd w:val="clear" w:color="auto" w:fill="FFFFFF"/>
        <w:spacing w:line="360" w:lineRule="atLeast"/>
        <w:rPr>
          <w:rFonts w:ascii="Tahoma" w:hAnsi="Tahoma" w:cs="Tahoma"/>
          <w:sz w:val="20"/>
          <w:szCs w:val="20"/>
        </w:rPr>
      </w:pPr>
      <w:r w:rsidRPr="00B525B1">
        <w:rPr>
          <w:rFonts w:ascii="Tahoma" w:hAnsi="Tahoma" w:cs="Tahoma"/>
          <w:sz w:val="20"/>
          <w:szCs w:val="20"/>
        </w:rPr>
        <w:t xml:space="preserve">Medication safety related to important drug classes </w:t>
      </w:r>
    </w:p>
    <w:p w:rsidR="00B525B1" w:rsidRPr="00B525B1" w:rsidRDefault="00B525B1" w:rsidP="00B525B1">
      <w:pPr>
        <w:pStyle w:val="ListParagraph"/>
        <w:numPr>
          <w:ilvl w:val="0"/>
          <w:numId w:val="7"/>
        </w:numPr>
        <w:shd w:val="clear" w:color="auto" w:fill="FFFFFF"/>
        <w:spacing w:after="0" w:line="360" w:lineRule="atLeast"/>
        <w:rPr>
          <w:rFonts w:ascii="Tahoma" w:hAnsi="Tahoma" w:cs="Tahoma"/>
          <w:b/>
          <w:sz w:val="20"/>
          <w:szCs w:val="20"/>
        </w:rPr>
      </w:pPr>
      <w:r w:rsidRPr="00B525B1">
        <w:rPr>
          <w:rFonts w:ascii="Tahoma" w:hAnsi="Tahoma" w:cs="Tahoma"/>
          <w:b/>
          <w:sz w:val="20"/>
          <w:szCs w:val="20"/>
        </w:rPr>
        <w:t>Care Coordination</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b/>
          <w:sz w:val="20"/>
          <w:szCs w:val="20"/>
        </w:rPr>
      </w:pPr>
      <w:r w:rsidRPr="00B525B1">
        <w:rPr>
          <w:rFonts w:ascii="Tahoma" w:hAnsi="Tahoma" w:cs="Tahoma"/>
          <w:sz w:val="20"/>
          <w:szCs w:val="20"/>
        </w:rPr>
        <w:t xml:space="preserve">Assessing team-based care (e.g., timely exchange of clinical information) </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b/>
          <w:sz w:val="20"/>
          <w:szCs w:val="20"/>
        </w:rPr>
      </w:pPr>
      <w:r w:rsidRPr="00B525B1">
        <w:rPr>
          <w:rFonts w:ascii="Tahoma" w:hAnsi="Tahoma" w:cs="Tahoma"/>
          <w:sz w:val="20"/>
          <w:szCs w:val="20"/>
        </w:rPr>
        <w:t xml:space="preserve">Effective use of new technologies, such as telehealth </w:t>
      </w:r>
    </w:p>
    <w:p w:rsidR="00B525B1" w:rsidRPr="00B525B1" w:rsidRDefault="00B525B1" w:rsidP="00B525B1">
      <w:pPr>
        <w:pStyle w:val="ListParagraph"/>
        <w:numPr>
          <w:ilvl w:val="0"/>
          <w:numId w:val="7"/>
        </w:numPr>
        <w:shd w:val="clear" w:color="auto" w:fill="FFFFFF"/>
        <w:spacing w:after="0" w:line="360" w:lineRule="atLeast"/>
        <w:rPr>
          <w:rFonts w:ascii="Tahoma" w:hAnsi="Tahoma" w:cs="Tahoma"/>
          <w:b/>
          <w:sz w:val="20"/>
          <w:szCs w:val="20"/>
        </w:rPr>
      </w:pPr>
      <w:r w:rsidRPr="00B525B1">
        <w:rPr>
          <w:rFonts w:ascii="Tahoma" w:hAnsi="Tahoma" w:cs="Tahoma"/>
          <w:b/>
          <w:sz w:val="20"/>
          <w:szCs w:val="20"/>
        </w:rPr>
        <w:t>Patient and Care Giver Experience</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b/>
          <w:sz w:val="20"/>
          <w:szCs w:val="20"/>
        </w:rPr>
      </w:pPr>
      <w:r w:rsidRPr="00B525B1">
        <w:rPr>
          <w:rFonts w:ascii="Tahoma" w:hAnsi="Tahoma" w:cs="Tahoma"/>
          <w:sz w:val="20"/>
          <w:szCs w:val="20"/>
        </w:rPr>
        <w:t xml:space="preserve">Patient-reported outcome measures (PROMs) </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b/>
          <w:sz w:val="20"/>
          <w:szCs w:val="20"/>
        </w:rPr>
      </w:pPr>
      <w:r w:rsidRPr="00B525B1">
        <w:rPr>
          <w:rFonts w:ascii="Tahoma" w:hAnsi="Tahoma" w:cs="Tahoma"/>
          <w:sz w:val="20"/>
          <w:szCs w:val="20"/>
        </w:rPr>
        <w:t>Additional topics that are important to patients and families/caregivers (e.g., knowledge, skill, and confidence for self-management)</w:t>
      </w:r>
    </w:p>
    <w:p w:rsidR="00B525B1" w:rsidRPr="00B525B1" w:rsidRDefault="00B525B1" w:rsidP="00B525B1">
      <w:pPr>
        <w:pStyle w:val="ListParagraph"/>
        <w:numPr>
          <w:ilvl w:val="0"/>
          <w:numId w:val="7"/>
        </w:numPr>
        <w:shd w:val="clear" w:color="auto" w:fill="FFFFFF"/>
        <w:spacing w:after="0" w:line="360" w:lineRule="atLeast"/>
        <w:rPr>
          <w:rFonts w:ascii="Tahoma" w:hAnsi="Tahoma" w:cs="Tahoma"/>
          <w:b/>
          <w:sz w:val="20"/>
          <w:szCs w:val="20"/>
        </w:rPr>
      </w:pPr>
      <w:r w:rsidRPr="00B525B1">
        <w:rPr>
          <w:rFonts w:ascii="Tahoma" w:hAnsi="Tahoma" w:cs="Tahoma"/>
          <w:b/>
          <w:sz w:val="20"/>
          <w:szCs w:val="20"/>
        </w:rPr>
        <w:t>Population Health and Prevention</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 xml:space="preserve">Developing or adapting outcome measures at a population level, such as a community or other identified population, to assess the effectiveness of the health promotion and preventive services delivered by professionals </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 xml:space="preserve">IOM Vital Signs topics (e.g., life expectancy, well-being, addictive behavior) </w:t>
      </w:r>
    </w:p>
    <w:p w:rsidR="00B525B1" w:rsidRPr="00B525B1" w:rsidRDefault="00B525B1" w:rsidP="00B525B1">
      <w:pPr>
        <w:pStyle w:val="ListParagraph"/>
        <w:numPr>
          <w:ilvl w:val="1"/>
          <w:numId w:val="7"/>
        </w:numPr>
        <w:shd w:val="clear" w:color="auto" w:fill="FFFFFF"/>
        <w:spacing w:after="0" w:line="360" w:lineRule="atLeast"/>
        <w:rPr>
          <w:rFonts w:ascii="Tahoma" w:hAnsi="Tahoma" w:cs="Tahoma"/>
          <w:sz w:val="20"/>
          <w:szCs w:val="20"/>
        </w:rPr>
      </w:pPr>
      <w:r w:rsidRPr="00B525B1">
        <w:rPr>
          <w:rFonts w:ascii="Tahoma" w:hAnsi="Tahoma" w:cs="Tahoma"/>
          <w:sz w:val="20"/>
          <w:szCs w:val="20"/>
        </w:rPr>
        <w:t xml:space="preserve">Detection or prevention of chronic disease (e.g., chronic kidney disease) </w:t>
      </w:r>
    </w:p>
    <w:p w:rsidR="00B525B1" w:rsidRPr="00B525B1" w:rsidRDefault="00B525B1" w:rsidP="00B525B1">
      <w:pPr>
        <w:pStyle w:val="ListParagraph"/>
        <w:numPr>
          <w:ilvl w:val="0"/>
          <w:numId w:val="7"/>
        </w:numPr>
        <w:shd w:val="clear" w:color="auto" w:fill="FFFFFF"/>
        <w:spacing w:after="0" w:line="360" w:lineRule="atLeast"/>
        <w:rPr>
          <w:rFonts w:ascii="Tahoma" w:eastAsia="Times New Roman" w:hAnsi="Tahoma" w:cs="Tahoma"/>
          <w:color w:val="020202"/>
          <w:sz w:val="20"/>
          <w:szCs w:val="20"/>
          <w:lang w:val="en-GB"/>
        </w:rPr>
      </w:pPr>
      <w:r w:rsidRPr="00B525B1">
        <w:rPr>
          <w:rFonts w:ascii="Tahoma" w:hAnsi="Tahoma" w:cs="Tahoma"/>
          <w:b/>
          <w:sz w:val="20"/>
          <w:szCs w:val="20"/>
        </w:rPr>
        <w:t>Affordable Care</w:t>
      </w:r>
      <w:r w:rsidRPr="00B525B1">
        <w:rPr>
          <w:rFonts w:ascii="Tahoma" w:hAnsi="Tahoma" w:cs="Tahoma"/>
          <w:sz w:val="20"/>
          <w:szCs w:val="20"/>
        </w:rPr>
        <w:t xml:space="preserve"> (Overuse measures (e.g., overuse of clinical tests/procedures)</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Measuring, monitoring, reporting, </w:t>
      </w:r>
      <w:proofErr w:type="spellStart"/>
      <w:r w:rsidRPr="00B525B1">
        <w:rPr>
          <w:rFonts w:ascii="Tahoma" w:eastAsia="Times New Roman" w:hAnsi="Tahoma" w:cs="Tahoma"/>
          <w:color w:val="020202"/>
          <w:sz w:val="20"/>
          <w:szCs w:val="20"/>
          <w:lang w:val="en-GB"/>
        </w:rPr>
        <w:t>analyzing</w:t>
      </w:r>
      <w:proofErr w:type="spellEnd"/>
      <w:r w:rsidRPr="00B525B1">
        <w:rPr>
          <w:rFonts w:ascii="Tahoma" w:eastAsia="Times New Roman" w:hAnsi="Tahoma" w:cs="Tahoma"/>
          <w:color w:val="020202"/>
          <w:sz w:val="20"/>
          <w:szCs w:val="20"/>
          <w:lang w:val="en-GB"/>
        </w:rPr>
        <w:t>, improving and controlling clinical performance measures has proven to be a significant challenge across many organizations.  Sample measure may be located within the CMS.gov website:</w:t>
      </w:r>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pStyle w:val="ListParagraph"/>
        <w:numPr>
          <w:ilvl w:val="0"/>
          <w:numId w:val="8"/>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Quality Measures:  </w:t>
      </w:r>
      <w:hyperlink r:id="rId7" w:history="1">
        <w:r w:rsidRPr="00B525B1">
          <w:rPr>
            <w:rStyle w:val="Hyperlink"/>
            <w:rFonts w:ascii="Tahoma" w:eastAsia="Times New Roman" w:hAnsi="Tahoma" w:cs="Tahoma"/>
            <w:sz w:val="20"/>
            <w:szCs w:val="20"/>
            <w:lang w:val="en-GB"/>
          </w:rPr>
          <w:t>https://qpp.cms.gov/measures/quality</w:t>
        </w:r>
      </w:hyperlink>
    </w:p>
    <w:p w:rsidR="00B525B1" w:rsidRPr="00B525B1" w:rsidRDefault="00B525B1" w:rsidP="00B525B1">
      <w:pPr>
        <w:pStyle w:val="ListParagraph"/>
        <w:numPr>
          <w:ilvl w:val="0"/>
          <w:numId w:val="8"/>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Advancing Care Information:  </w:t>
      </w:r>
      <w:hyperlink r:id="rId8" w:history="1">
        <w:r w:rsidRPr="00B525B1">
          <w:rPr>
            <w:rStyle w:val="Hyperlink"/>
            <w:rFonts w:ascii="Tahoma" w:eastAsia="Times New Roman" w:hAnsi="Tahoma" w:cs="Tahoma"/>
            <w:sz w:val="20"/>
            <w:szCs w:val="20"/>
            <w:lang w:val="en-GB"/>
          </w:rPr>
          <w:t>https://qpp.cms.gov/measures/aci</w:t>
        </w:r>
      </w:hyperlink>
    </w:p>
    <w:p w:rsidR="00B525B1" w:rsidRPr="00B525B1" w:rsidRDefault="00B525B1" w:rsidP="00B525B1">
      <w:pPr>
        <w:pStyle w:val="ListParagraph"/>
        <w:numPr>
          <w:ilvl w:val="0"/>
          <w:numId w:val="8"/>
        </w:numPr>
        <w:shd w:val="clear" w:color="auto" w:fill="FFFFFF"/>
        <w:spacing w:after="0" w:line="360" w:lineRule="atLeast"/>
        <w:rPr>
          <w:rFonts w:ascii="Tahoma" w:eastAsia="Times New Roman" w:hAnsi="Tahoma" w:cs="Tahoma"/>
          <w:color w:val="020202"/>
          <w:sz w:val="20"/>
          <w:szCs w:val="20"/>
          <w:lang w:val="en-GB"/>
        </w:rPr>
      </w:pPr>
      <w:r w:rsidRPr="00B525B1">
        <w:rPr>
          <w:rFonts w:ascii="Tahoma" w:eastAsia="Times New Roman" w:hAnsi="Tahoma" w:cs="Tahoma"/>
          <w:color w:val="020202"/>
          <w:sz w:val="20"/>
          <w:szCs w:val="20"/>
          <w:lang w:val="en-GB"/>
        </w:rPr>
        <w:t xml:space="preserve">Improvement Activities:  </w:t>
      </w:r>
      <w:hyperlink r:id="rId9" w:history="1">
        <w:r w:rsidRPr="00B525B1">
          <w:rPr>
            <w:rStyle w:val="Hyperlink"/>
            <w:rFonts w:ascii="Tahoma" w:eastAsia="Times New Roman" w:hAnsi="Tahoma" w:cs="Tahoma"/>
            <w:sz w:val="20"/>
            <w:szCs w:val="20"/>
            <w:lang w:val="en-GB"/>
          </w:rPr>
          <w:t>https://qpp.cms.gov/measures/ia</w:t>
        </w:r>
      </w:hyperlink>
    </w:p>
    <w:p w:rsidR="00B525B1" w:rsidRPr="00B525B1" w:rsidRDefault="00B525B1" w:rsidP="00B525B1">
      <w:pPr>
        <w:shd w:val="clear" w:color="auto" w:fill="FFFFFF"/>
        <w:spacing w:after="0" w:line="360" w:lineRule="atLeast"/>
        <w:rPr>
          <w:rFonts w:ascii="Tahoma" w:eastAsia="Times New Roman" w:hAnsi="Tahoma" w:cs="Tahoma"/>
          <w:color w:val="020202"/>
          <w:sz w:val="20"/>
          <w:szCs w:val="20"/>
          <w:lang w:val="en-GB"/>
        </w:rPr>
      </w:pPr>
    </w:p>
    <w:p w:rsidR="00B525B1" w:rsidRPr="00B525B1" w:rsidRDefault="00B525B1" w:rsidP="00B525B1">
      <w:pPr>
        <w:shd w:val="clear" w:color="auto" w:fill="FFFFFF"/>
        <w:spacing w:after="0" w:line="360" w:lineRule="atLeast"/>
        <w:rPr>
          <w:rFonts w:ascii="Tahoma" w:eastAsia="Times New Roman" w:hAnsi="Tahoma" w:cs="Tahoma"/>
          <w:b/>
          <w:sz w:val="24"/>
          <w:szCs w:val="24"/>
          <w:lang w:val="en-GB"/>
        </w:rPr>
      </w:pPr>
      <w:r w:rsidRPr="00B525B1">
        <w:rPr>
          <w:rFonts w:ascii="Tahoma" w:eastAsia="Times New Roman" w:hAnsi="Tahoma" w:cs="Tahoma"/>
          <w:b/>
          <w:sz w:val="24"/>
          <w:szCs w:val="24"/>
          <w:lang w:val="en-GB"/>
        </w:rPr>
        <w:t xml:space="preserve">Key Take </w:t>
      </w:r>
      <w:proofErr w:type="spellStart"/>
      <w:r w:rsidRPr="00B525B1">
        <w:rPr>
          <w:rFonts w:ascii="Tahoma" w:eastAsia="Times New Roman" w:hAnsi="Tahoma" w:cs="Tahoma"/>
          <w:b/>
          <w:sz w:val="24"/>
          <w:szCs w:val="24"/>
          <w:lang w:val="en-GB"/>
        </w:rPr>
        <w:t>Aways</w:t>
      </w:r>
      <w:proofErr w:type="spellEnd"/>
      <w:r w:rsidRPr="00B525B1">
        <w:rPr>
          <w:rFonts w:ascii="Tahoma" w:eastAsia="Times New Roman" w:hAnsi="Tahoma" w:cs="Tahoma"/>
          <w:b/>
          <w:sz w:val="24"/>
          <w:szCs w:val="24"/>
          <w:lang w:val="en-GB"/>
        </w:rPr>
        <w:t>:</w:t>
      </w:r>
    </w:p>
    <w:p w:rsidR="00B525B1" w:rsidRPr="00B525B1" w:rsidRDefault="00B525B1" w:rsidP="00B525B1">
      <w:pPr>
        <w:pStyle w:val="ListParagraph"/>
        <w:numPr>
          <w:ilvl w:val="0"/>
          <w:numId w:val="3"/>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i/>
          <w:sz w:val="20"/>
          <w:szCs w:val="20"/>
          <w:lang w:val="en-GB"/>
        </w:rPr>
        <w:t>Knowledge management and transfer</w:t>
      </w:r>
      <w:r w:rsidRPr="00B525B1">
        <w:rPr>
          <w:rFonts w:ascii="Tahoma" w:eastAsia="Times New Roman" w:hAnsi="Tahoma" w:cs="Tahoma"/>
          <w:sz w:val="20"/>
          <w:szCs w:val="20"/>
          <w:lang w:val="en-GB"/>
        </w:rPr>
        <w:t xml:space="preserve"> through data analytics is an important element of a Performance Excellence Philosophy to achieve an </w:t>
      </w:r>
      <w:r w:rsidRPr="00B525B1">
        <w:rPr>
          <w:rFonts w:ascii="Tahoma" w:eastAsia="Times New Roman" w:hAnsi="Tahoma" w:cs="Tahoma"/>
          <w:i/>
          <w:sz w:val="20"/>
          <w:szCs w:val="20"/>
          <w:lang w:val="en-GB"/>
        </w:rPr>
        <w:t>vision</w:t>
      </w:r>
      <w:r w:rsidRPr="00B525B1">
        <w:rPr>
          <w:rFonts w:ascii="Tahoma" w:eastAsia="Times New Roman" w:hAnsi="Tahoma" w:cs="Tahoma"/>
          <w:sz w:val="20"/>
          <w:szCs w:val="20"/>
          <w:lang w:val="en-GB"/>
        </w:rPr>
        <w:t xml:space="preserve"> of success in the ever-evolving healthcare industry of today.</w:t>
      </w:r>
    </w:p>
    <w:p w:rsidR="00B525B1" w:rsidRPr="00B525B1" w:rsidRDefault="00B525B1" w:rsidP="00B525B1">
      <w:pPr>
        <w:pStyle w:val="ListParagraph"/>
        <w:numPr>
          <w:ilvl w:val="0"/>
          <w:numId w:val="9"/>
        </w:numPr>
        <w:shd w:val="clear" w:color="auto" w:fill="FFFFFF"/>
        <w:spacing w:after="0" w:line="360" w:lineRule="atLeast"/>
        <w:rPr>
          <w:rFonts w:ascii="Tahoma" w:eastAsia="Times New Roman" w:hAnsi="Tahoma" w:cs="Tahoma"/>
          <w:b/>
          <w:sz w:val="24"/>
          <w:szCs w:val="24"/>
          <w:lang w:val="en-GB"/>
        </w:rPr>
      </w:pPr>
      <w:r w:rsidRPr="00B525B1">
        <w:rPr>
          <w:rFonts w:ascii="Tahoma" w:eastAsia="Times New Roman" w:hAnsi="Tahoma" w:cs="Tahoma"/>
          <w:color w:val="020202"/>
          <w:sz w:val="20"/>
          <w:szCs w:val="20"/>
          <w:lang w:val="en-GB"/>
        </w:rPr>
        <w:t xml:space="preserve">Healthcare providers are required and must report key measures of performance in order to maintain a competitive edge and to maximize reimbursement for services rendered.  </w:t>
      </w:r>
    </w:p>
    <w:p w:rsidR="00B525B1" w:rsidRPr="00B525B1" w:rsidRDefault="00B525B1" w:rsidP="00B525B1">
      <w:pPr>
        <w:pStyle w:val="ListParagraph"/>
        <w:numPr>
          <w:ilvl w:val="0"/>
          <w:numId w:val="9"/>
        </w:numPr>
        <w:shd w:val="clear" w:color="auto" w:fill="FFFFFF"/>
        <w:spacing w:after="0" w:line="360" w:lineRule="atLeast"/>
        <w:rPr>
          <w:rFonts w:ascii="Tahoma" w:eastAsia="Times New Roman" w:hAnsi="Tahoma" w:cs="Tahoma"/>
          <w:b/>
          <w:sz w:val="24"/>
          <w:szCs w:val="24"/>
          <w:lang w:val="en-GB"/>
        </w:rPr>
      </w:pPr>
      <w:r w:rsidRPr="00B525B1">
        <w:rPr>
          <w:rFonts w:ascii="Tahoma" w:eastAsia="Times New Roman" w:hAnsi="Tahoma" w:cs="Tahoma"/>
          <w:color w:val="020202"/>
          <w:sz w:val="20"/>
          <w:szCs w:val="20"/>
          <w:lang w:val="en-GB"/>
        </w:rPr>
        <w:t xml:space="preserve">Measures of performance should focus on </w:t>
      </w:r>
      <w:r w:rsidRPr="00B525B1">
        <w:rPr>
          <w:rFonts w:ascii="Tahoma" w:eastAsia="Times New Roman" w:hAnsi="Tahoma" w:cs="Tahoma"/>
          <w:i/>
          <w:color w:val="020202"/>
          <w:sz w:val="20"/>
          <w:szCs w:val="20"/>
          <w:lang w:val="en-GB"/>
        </w:rPr>
        <w:t>Operations/Financial, Service and Clinical Excellence</w:t>
      </w:r>
      <w:r w:rsidRPr="00B525B1">
        <w:rPr>
          <w:rFonts w:ascii="Tahoma" w:eastAsia="Times New Roman" w:hAnsi="Tahoma" w:cs="Tahoma"/>
          <w:color w:val="020202"/>
          <w:sz w:val="20"/>
          <w:szCs w:val="20"/>
          <w:lang w:val="en-GB"/>
        </w:rPr>
        <w:t xml:space="preserve">.  </w:t>
      </w:r>
    </w:p>
    <w:p w:rsidR="00B525B1" w:rsidRPr="00B525B1" w:rsidRDefault="00B525B1" w:rsidP="00B525B1">
      <w:pPr>
        <w:pStyle w:val="ListParagraph"/>
        <w:numPr>
          <w:ilvl w:val="0"/>
          <w:numId w:val="3"/>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Sources of measures are provided.</w:t>
      </w:r>
    </w:p>
    <w:p w:rsidR="00B525B1" w:rsidRPr="00B525B1" w:rsidRDefault="00B525B1" w:rsidP="00B525B1">
      <w:pPr>
        <w:shd w:val="clear" w:color="auto" w:fill="FFFFFF"/>
        <w:spacing w:after="0" w:line="360" w:lineRule="atLeast"/>
        <w:ind w:left="360"/>
        <w:rPr>
          <w:rFonts w:ascii="Tahoma" w:eastAsia="Times New Roman" w:hAnsi="Tahoma" w:cs="Tahoma"/>
          <w:b/>
          <w:sz w:val="24"/>
          <w:szCs w:val="24"/>
          <w:lang w:val="en-GB"/>
        </w:rPr>
      </w:pPr>
    </w:p>
    <w:p w:rsidR="00B525B1" w:rsidRPr="00B525B1" w:rsidRDefault="00B525B1" w:rsidP="00B525B1">
      <w:pPr>
        <w:shd w:val="clear" w:color="auto" w:fill="FFFFFF"/>
        <w:spacing w:after="0" w:line="360" w:lineRule="atLeast"/>
        <w:rPr>
          <w:rFonts w:ascii="Tahoma" w:eastAsia="Times New Roman" w:hAnsi="Tahoma" w:cs="Tahoma"/>
          <w:b/>
          <w:sz w:val="24"/>
          <w:szCs w:val="24"/>
          <w:lang w:val="en-GB"/>
        </w:rPr>
      </w:pPr>
      <w:r w:rsidRPr="00B525B1">
        <w:rPr>
          <w:rFonts w:ascii="Tahoma" w:eastAsia="Times New Roman" w:hAnsi="Tahoma" w:cs="Tahoma"/>
          <w:b/>
          <w:sz w:val="24"/>
          <w:szCs w:val="24"/>
          <w:lang w:val="en-GB"/>
        </w:rPr>
        <w:t>Next Steps:</w:t>
      </w:r>
    </w:p>
    <w:p w:rsidR="00B525B1" w:rsidRPr="00B525B1" w:rsidRDefault="00B525B1" w:rsidP="00B525B1">
      <w:pPr>
        <w:pStyle w:val="ListParagraph"/>
        <w:numPr>
          <w:ilvl w:val="0"/>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i/>
          <w:sz w:val="20"/>
          <w:szCs w:val="20"/>
          <w:lang w:val="en-GB"/>
        </w:rPr>
        <w:t>Process Management</w:t>
      </w:r>
      <w:r w:rsidRPr="00B525B1">
        <w:rPr>
          <w:rFonts w:ascii="Tahoma" w:eastAsia="Times New Roman" w:hAnsi="Tahoma" w:cs="Tahoma"/>
          <w:sz w:val="20"/>
          <w:szCs w:val="20"/>
          <w:lang w:val="en-GB"/>
        </w:rPr>
        <w:t xml:space="preserve"> through formal methodologies:</w:t>
      </w:r>
    </w:p>
    <w:p w:rsidR="00B525B1" w:rsidRPr="00B525B1" w:rsidRDefault="00B525B1" w:rsidP="00B525B1">
      <w:pPr>
        <w:pStyle w:val="ListParagraph"/>
        <w:numPr>
          <w:ilvl w:val="1"/>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Determine the process management for the organization</w:t>
      </w:r>
    </w:p>
    <w:p w:rsidR="00B525B1" w:rsidRPr="00B525B1" w:rsidRDefault="00B525B1" w:rsidP="00B525B1">
      <w:pPr>
        <w:pStyle w:val="ListParagraph"/>
        <w:numPr>
          <w:ilvl w:val="1"/>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Develop leadership, management and staff to focus on processes to:</w:t>
      </w:r>
    </w:p>
    <w:p w:rsidR="00B525B1" w:rsidRPr="00B525B1" w:rsidRDefault="00B525B1" w:rsidP="00B525B1">
      <w:pPr>
        <w:pStyle w:val="ListParagraph"/>
        <w:numPr>
          <w:ilvl w:val="2"/>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achieve results,</w:t>
      </w:r>
    </w:p>
    <w:p w:rsidR="00B525B1" w:rsidRPr="00B525B1" w:rsidRDefault="00B525B1" w:rsidP="00B525B1">
      <w:pPr>
        <w:pStyle w:val="ListParagraph"/>
        <w:numPr>
          <w:ilvl w:val="2"/>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standardize operating norms,</w:t>
      </w:r>
    </w:p>
    <w:p w:rsidR="00B525B1" w:rsidRPr="00B525B1" w:rsidRDefault="00B525B1" w:rsidP="00B525B1">
      <w:pPr>
        <w:pStyle w:val="ListParagraph"/>
        <w:numPr>
          <w:ilvl w:val="2"/>
          <w:numId w:val="1"/>
        </w:numPr>
        <w:shd w:val="clear" w:color="auto" w:fill="FFFFFF"/>
        <w:spacing w:after="0" w:line="360" w:lineRule="atLeast"/>
        <w:rPr>
          <w:rFonts w:ascii="Tahoma" w:eastAsia="Times New Roman" w:hAnsi="Tahoma" w:cs="Tahoma"/>
          <w:b/>
          <w:i/>
          <w:lang w:val="en-GB"/>
        </w:rPr>
      </w:pPr>
      <w:r w:rsidRPr="00B525B1">
        <w:rPr>
          <w:rFonts w:ascii="Tahoma" w:eastAsia="Times New Roman" w:hAnsi="Tahoma" w:cs="Tahoma"/>
          <w:sz w:val="20"/>
          <w:szCs w:val="20"/>
          <w:lang w:val="en-GB"/>
        </w:rPr>
        <w:t xml:space="preserve">reduce variation,  and </w:t>
      </w:r>
    </w:p>
    <w:p w:rsidR="00B525B1" w:rsidRPr="00B525B1" w:rsidRDefault="00B525B1" w:rsidP="00B525B1">
      <w:pPr>
        <w:pStyle w:val="ListParagraph"/>
        <w:numPr>
          <w:ilvl w:val="2"/>
          <w:numId w:val="1"/>
        </w:numPr>
        <w:shd w:val="clear" w:color="auto" w:fill="FFFFFF"/>
        <w:spacing w:after="0" w:line="360" w:lineRule="atLeast"/>
        <w:rPr>
          <w:rFonts w:ascii="Tahoma" w:eastAsia="Times New Roman" w:hAnsi="Tahoma" w:cs="Tahoma"/>
          <w:sz w:val="21"/>
          <w:szCs w:val="21"/>
          <w:lang w:val="en-GB"/>
        </w:rPr>
      </w:pPr>
      <w:r w:rsidRPr="00B525B1">
        <w:rPr>
          <w:rFonts w:ascii="Tahoma" w:eastAsia="Times New Roman" w:hAnsi="Tahoma" w:cs="Tahoma"/>
          <w:sz w:val="20"/>
          <w:szCs w:val="20"/>
          <w:lang w:val="en-GB"/>
        </w:rPr>
        <w:t>Hardwire best practices.</w:t>
      </w:r>
    </w:p>
    <w:p w:rsidR="005A5FBD" w:rsidRPr="00B525B1" w:rsidRDefault="005A5FBD">
      <w:pPr>
        <w:rPr>
          <w:rFonts w:ascii="Tahoma" w:hAnsi="Tahoma" w:cs="Tahoma"/>
        </w:rPr>
      </w:pPr>
    </w:p>
    <w:sectPr w:rsidR="005A5FBD" w:rsidRPr="00B5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F3E"/>
    <w:multiLevelType w:val="hybridMultilevel"/>
    <w:tmpl w:val="C198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2221D"/>
    <w:multiLevelType w:val="hybridMultilevel"/>
    <w:tmpl w:val="AA3E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28B3"/>
    <w:multiLevelType w:val="hybridMultilevel"/>
    <w:tmpl w:val="F58E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C49C9"/>
    <w:multiLevelType w:val="hybridMultilevel"/>
    <w:tmpl w:val="E5B6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35057"/>
    <w:multiLevelType w:val="hybridMultilevel"/>
    <w:tmpl w:val="BFB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95BB6"/>
    <w:multiLevelType w:val="hybridMultilevel"/>
    <w:tmpl w:val="8154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06823"/>
    <w:multiLevelType w:val="hybridMultilevel"/>
    <w:tmpl w:val="8B72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E4D97"/>
    <w:multiLevelType w:val="hybridMultilevel"/>
    <w:tmpl w:val="BD78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00969"/>
    <w:multiLevelType w:val="hybridMultilevel"/>
    <w:tmpl w:val="7FA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B1"/>
    <w:rsid w:val="00236792"/>
    <w:rsid w:val="00543724"/>
    <w:rsid w:val="005A5FBD"/>
    <w:rsid w:val="00824A50"/>
    <w:rsid w:val="00B5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B980-4B5E-4AE9-AAC8-51455F6F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5B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5B1"/>
    <w:rPr>
      <w:color w:val="0563C1" w:themeColor="hyperlink"/>
      <w:u w:val="single"/>
    </w:rPr>
  </w:style>
  <w:style w:type="paragraph" w:styleId="ListParagraph">
    <w:name w:val="List Paragraph"/>
    <w:basedOn w:val="Normal"/>
    <w:uiPriority w:val="34"/>
    <w:qFormat/>
    <w:rsid w:val="00B525B1"/>
    <w:pPr>
      <w:ind w:left="720"/>
      <w:contextualSpacing/>
    </w:pPr>
  </w:style>
  <w:style w:type="character" w:styleId="Mention">
    <w:name w:val="Mention"/>
    <w:basedOn w:val="DefaultParagraphFont"/>
    <w:uiPriority w:val="99"/>
    <w:semiHidden/>
    <w:unhideWhenUsed/>
    <w:rsid w:val="00B525B1"/>
    <w:rPr>
      <w:color w:val="2B579A"/>
      <w:shd w:val="clear" w:color="auto" w:fill="E6E6E6"/>
    </w:rPr>
  </w:style>
  <w:style w:type="character" w:styleId="FollowedHyperlink">
    <w:name w:val="FollowedHyperlink"/>
    <w:basedOn w:val="DefaultParagraphFont"/>
    <w:uiPriority w:val="99"/>
    <w:semiHidden/>
    <w:unhideWhenUsed/>
    <w:rsid w:val="00B52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cms.gov/measures/aci" TargetMode="External"/><Relationship Id="rId3" Type="http://schemas.openxmlformats.org/officeDocument/2006/relationships/settings" Target="settings.xml"/><Relationship Id="rId7" Type="http://schemas.openxmlformats.org/officeDocument/2006/relationships/hyperlink" Target="https://qpp.cms.gov/measures/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Medicare/Quality-Initiatives-Patient-Assessment-Instruments/Value-Based-Programs/MACRA-MIPS-and-APMs/Final-MDP.pdf" TargetMode="External"/><Relationship Id="rId11" Type="http://schemas.openxmlformats.org/officeDocument/2006/relationships/theme" Target="theme/theme1.xml"/><Relationship Id="rId5" Type="http://schemas.openxmlformats.org/officeDocument/2006/relationships/hyperlink" Target="http://www.wiederholdassoc.com/images/blog/table-of-potential-data-analytics-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pp.cms.gov/measur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jjelmslie@gmail.com</dc:creator>
  <cp:keywords/>
  <dc:description/>
  <cp:lastModifiedBy>jjelmslie@gmail.com</cp:lastModifiedBy>
  <cp:revision>2</cp:revision>
  <cp:lastPrinted>2017-05-03T17:45:00Z</cp:lastPrinted>
  <dcterms:created xsi:type="dcterms:W3CDTF">2017-05-04T22:04:00Z</dcterms:created>
  <dcterms:modified xsi:type="dcterms:W3CDTF">2017-05-04T22:04:00Z</dcterms:modified>
</cp:coreProperties>
</file>